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EBB7" w14:textId="46AE753C" w:rsidR="00744562" w:rsidRPr="00273594" w:rsidRDefault="00744562" w:rsidP="00BC55C8">
      <w:pPr>
        <w:jc w:val="both"/>
        <w:rPr>
          <w:b/>
        </w:rPr>
      </w:pPr>
      <w:r>
        <w:rPr>
          <w:b/>
        </w:rPr>
        <w:t>Návrh n</w:t>
      </w:r>
      <w:r w:rsidRPr="00273594">
        <w:rPr>
          <w:b/>
        </w:rPr>
        <w:t>a vyřazení sběru dat o počtu disponibilních přípojek ve výhledu 3 let v geografické příloze k ART182</w:t>
      </w:r>
    </w:p>
    <w:p w14:paraId="1D7B15A4" w14:textId="1591DF75" w:rsidR="00744562" w:rsidRPr="00273594" w:rsidRDefault="00744562" w:rsidP="00BC55C8">
      <w:pPr>
        <w:jc w:val="both"/>
      </w:pPr>
      <w:r w:rsidRPr="00273594">
        <w:t xml:space="preserve">ČTÚ navrhuje od 1. ledna 2020 již nesbírat geografická data o </w:t>
      </w:r>
      <w:r w:rsidR="00600FF2" w:rsidRPr="00273594">
        <w:t xml:space="preserve">počtech </w:t>
      </w:r>
      <w:r w:rsidRPr="00273594">
        <w:t>instalovaných (disponibilních) přípoj</w:t>
      </w:r>
      <w:r w:rsidR="00600FF2" w:rsidRPr="007B3423">
        <w:t>ek</w:t>
      </w:r>
      <w:r w:rsidR="00600FF2" w:rsidRPr="00273594">
        <w:t xml:space="preserve"> v </w:t>
      </w:r>
      <w:r w:rsidRPr="00273594">
        <w:t>celkov</w:t>
      </w:r>
      <w:r w:rsidR="00600FF2" w:rsidRPr="00273594">
        <w:t>ém</w:t>
      </w:r>
      <w:r w:rsidRPr="00273594">
        <w:t xml:space="preserve"> stav</w:t>
      </w:r>
      <w:r w:rsidR="00600FF2" w:rsidRPr="00273594">
        <w:t>u</w:t>
      </w:r>
      <w:r w:rsidRPr="00273594">
        <w:t xml:space="preserve"> za 3 roky</w:t>
      </w:r>
      <w:r w:rsidR="00600FF2" w:rsidRPr="00273594">
        <w:t xml:space="preserve"> (tzv. výhled)</w:t>
      </w:r>
      <w:r w:rsidRPr="00273594">
        <w:t>. To znamená, že by podnikatelé tato data nevykazovali již ve sběru dat za rok 2019.</w:t>
      </w:r>
    </w:p>
    <w:p w14:paraId="2A61C908" w14:textId="1836473A" w:rsidR="00744562" w:rsidRPr="00273594" w:rsidRDefault="00744562" w:rsidP="00BC55C8">
      <w:pPr>
        <w:jc w:val="both"/>
      </w:pPr>
      <w:r w:rsidRPr="00273594">
        <w:t xml:space="preserve">Níže </w:t>
      </w:r>
      <w:r w:rsidR="00600FF2" w:rsidRPr="00273594">
        <w:t xml:space="preserve">ČTÚ </w:t>
      </w:r>
      <w:r w:rsidRPr="00273594">
        <w:t xml:space="preserve">uvádí odůvodnění svého návrhu, jehož cílem je především snížit administrativní zátěž jak na straně podnikatelů, tak na straně státní správy. Současně </w:t>
      </w:r>
      <w:r w:rsidR="00600FF2" w:rsidRPr="00273594">
        <w:t xml:space="preserve">je navržen </w:t>
      </w:r>
      <w:r w:rsidRPr="00273594">
        <w:t>rámcový postup pro získání takových údajů v dostatečném rozsahu tak, aby mohl být naplněn zamýšlený účel jejich využití a aby byla zvýšena validita těchto dat.</w:t>
      </w:r>
    </w:p>
    <w:p w14:paraId="61C96AFE" w14:textId="2F4EE5C2" w:rsidR="00BC55C8" w:rsidRPr="00273594" w:rsidRDefault="00BC55C8" w:rsidP="006E250C">
      <w:pPr>
        <w:jc w:val="both"/>
      </w:pPr>
      <w:r w:rsidRPr="00273594">
        <w:t xml:space="preserve">Geografická data o výhledech se sbírají od roku 2016 (údaje za rok 2015) na základě požadavku </w:t>
      </w:r>
      <w:r w:rsidR="0016141D" w:rsidRPr="00273594">
        <w:t>Ministerstva průmyslu a obchodu</w:t>
      </w:r>
      <w:r w:rsidRPr="00273594">
        <w:t xml:space="preserve">. </w:t>
      </w:r>
      <w:r w:rsidR="000D64E3" w:rsidRPr="00273594">
        <w:t xml:space="preserve">Geografická data o výhledech </w:t>
      </w:r>
      <w:r w:rsidR="00600FF2" w:rsidRPr="00273594">
        <w:t xml:space="preserve">v současné době </w:t>
      </w:r>
      <w:r w:rsidR="000D64E3" w:rsidRPr="00273594">
        <w:t xml:space="preserve">předávají </w:t>
      </w:r>
      <w:r w:rsidR="00D455B1" w:rsidRPr="00273594">
        <w:t xml:space="preserve">v rámci pravidelného sběru dat prostřednictvím přílohy k sekci 2 </w:t>
      </w:r>
      <w:r w:rsidR="00807637">
        <w:t xml:space="preserve">Přístup k internetu v pevné síti (nově Přístup k internetu </w:t>
      </w:r>
      <w:r w:rsidR="00600FF2" w:rsidRPr="00273594">
        <w:t>v pevném místě</w:t>
      </w:r>
      <w:r w:rsidR="00807637">
        <w:t>)</w:t>
      </w:r>
      <w:r w:rsidR="00D455B1" w:rsidRPr="00273594">
        <w:t xml:space="preserve"> formuláře ART </w:t>
      </w:r>
      <w:r w:rsidR="000D64E3" w:rsidRPr="00273594">
        <w:t>všichni podnikatelé v elektronických komunikací poskytující službu přístupu k internetu a/nebo provozující pevnou síť</w:t>
      </w:r>
      <w:r w:rsidR="00600FF2" w:rsidRPr="00273594">
        <w:t>, a to</w:t>
      </w:r>
      <w:r w:rsidR="000D64E3" w:rsidRPr="00273594">
        <w:t xml:space="preserve"> za každý celý rok a pro celé území, kde působí. Takový rozsah sběru dat představuje velkou administrativní zátěž na straně podnikatelů, ale i na straně ČTÚ, který sbíraná data verifikuje (ověřuje jejich správnost)</w:t>
      </w:r>
      <w:r w:rsidR="00685972">
        <w:t xml:space="preserve"> a MPO</w:t>
      </w:r>
      <w:r w:rsidR="000D64E3" w:rsidRPr="00273594">
        <w:t>.</w:t>
      </w:r>
    </w:p>
    <w:p w14:paraId="2E017B34" w14:textId="4075FAED" w:rsidR="00C02546" w:rsidRPr="00273594" w:rsidRDefault="00C02546" w:rsidP="00C02546">
      <w:pPr>
        <w:jc w:val="both"/>
      </w:pPr>
      <w:r w:rsidRPr="00273594">
        <w:t>Ú</w:t>
      </w:r>
      <w:r w:rsidRPr="007B3423">
        <w:t xml:space="preserve">čelem sběru dat o výhledech </w:t>
      </w:r>
      <w:r w:rsidRPr="00273594">
        <w:t>je v soul</w:t>
      </w:r>
      <w:bookmarkStart w:id="0" w:name="_GoBack"/>
      <w:bookmarkEnd w:id="0"/>
      <w:r w:rsidRPr="00273594">
        <w:t>adu s Pokyny EU k použití pravidel státní podpory ve vztahu k</w:t>
      </w:r>
      <w:r w:rsidR="0016141D" w:rsidRPr="00273594">
        <w:t> </w:t>
      </w:r>
      <w:r w:rsidRPr="00273594">
        <w:t>rychlému zavádění širokopásmových sítí (2013/C 25/01) jejich využití při určení tzv. intervenčních oblastí, do nichž lze směrovat veřejnou podporu na budování sítí NGA, protože zde dostupná infrastruktura NGA sítí neexistuje a není ani plánovaná její výstavba v následujících 3 letech.</w:t>
      </w:r>
    </w:p>
    <w:p w14:paraId="0CE74463" w14:textId="0D312CE5" w:rsidR="00C02546" w:rsidRPr="00273594" w:rsidRDefault="00685972" w:rsidP="00C02546">
      <w:pPr>
        <w:jc w:val="both"/>
      </w:pPr>
      <w:r>
        <w:t>Z výše uvedených pokynů plyne, že p</w:t>
      </w:r>
      <w:r w:rsidR="00C02546" w:rsidRPr="00273594">
        <w:t>okud však v určité oblasti existuje síť NGA v dostatečném rozsahu, nemůže se jednat o intervenční oblast. V takových územích nemají data o výhledu žádný praktický dopad a jejich sběr a vyhodnocení pouze uměle zvyšuje administrativní zátěž na všech stranách</w:t>
      </w:r>
      <w:r w:rsidR="0016141D" w:rsidRPr="00273594">
        <w:t xml:space="preserve"> a</w:t>
      </w:r>
      <w:r>
        <w:t> </w:t>
      </w:r>
      <w:r w:rsidR="0016141D" w:rsidRPr="00273594">
        <w:t>v</w:t>
      </w:r>
      <w:r>
        <w:t> </w:t>
      </w:r>
      <w:r w:rsidR="0016141D" w:rsidRPr="00273594">
        <w:t>důsledku toho může snižovat míru spolehlivosti takto vykazovaných dat</w:t>
      </w:r>
      <w:r w:rsidR="00C02546" w:rsidRPr="00273594">
        <w:t>.</w:t>
      </w:r>
    </w:p>
    <w:p w14:paraId="4993655A" w14:textId="2DB682AC" w:rsidR="00D455B1" w:rsidRPr="00273594" w:rsidRDefault="00D455B1" w:rsidP="00BC55C8">
      <w:pPr>
        <w:jc w:val="both"/>
      </w:pPr>
      <w:r w:rsidRPr="00273594">
        <w:t xml:space="preserve">Přestože </w:t>
      </w:r>
      <w:r w:rsidR="00C02546" w:rsidRPr="00273594">
        <w:t xml:space="preserve">by bylo možné </w:t>
      </w:r>
      <w:r w:rsidRPr="00273594">
        <w:t xml:space="preserve">administrativní zátěž snížit </w:t>
      </w:r>
      <w:r w:rsidR="00C02546" w:rsidRPr="00273594">
        <w:t xml:space="preserve">i </w:t>
      </w:r>
      <w:r w:rsidRPr="00273594">
        <w:t xml:space="preserve">při stávající koncepci, a to např. prodloužením periodicity </w:t>
      </w:r>
      <w:r w:rsidR="00C02546" w:rsidRPr="00273594">
        <w:t xml:space="preserve">sběru dat o výhledech </w:t>
      </w:r>
      <w:r w:rsidRPr="00273594">
        <w:t xml:space="preserve">na každé 2 či 3 roky, </w:t>
      </w:r>
      <w:r w:rsidR="002D2A20" w:rsidRPr="00273594">
        <w:t>doporučuje ČTÚ nadále data o výhledech nesbírat</w:t>
      </w:r>
      <w:r w:rsidR="00C02546" w:rsidRPr="00273594">
        <w:t xml:space="preserve"> stávajícím způsobem</w:t>
      </w:r>
      <w:r w:rsidR="0016141D" w:rsidRPr="00273594">
        <w:t xml:space="preserve"> a navrhuje </w:t>
      </w:r>
      <w:r w:rsidR="00CC5727" w:rsidRPr="00273594">
        <w:t>jiný způsob získávání předmětných dat</w:t>
      </w:r>
      <w:r w:rsidR="002D2A20" w:rsidRPr="00273594">
        <w:t>.</w:t>
      </w:r>
      <w:r w:rsidR="00CC5727" w:rsidRPr="00273594">
        <w:t xml:space="preserve"> </w:t>
      </w:r>
    </w:p>
    <w:p w14:paraId="0A119BD7" w14:textId="0262F2C0" w:rsidR="000A1CB2" w:rsidRPr="00E152CE" w:rsidRDefault="000A1CB2" w:rsidP="005F5933">
      <w:pPr>
        <w:jc w:val="both"/>
        <w:rPr>
          <w:b/>
        </w:rPr>
      </w:pPr>
      <w:r w:rsidRPr="00E152CE">
        <w:rPr>
          <w:b/>
        </w:rPr>
        <w:t>Návrh alternativního postupu pro sběr dat o výhledech</w:t>
      </w:r>
    </w:p>
    <w:p w14:paraId="1322E897" w14:textId="770AD977" w:rsidR="002D2A20" w:rsidRPr="00273594" w:rsidRDefault="000A1CB2" w:rsidP="005F5933">
      <w:pPr>
        <w:jc w:val="both"/>
      </w:pPr>
      <w:r w:rsidRPr="00273594">
        <w:t>ČTÚ si je vědom nutnosti mít data o výhledem k dispozici pro vymezení intervenčních oblastí, za účelem ochrany investic a pro kontrolu plnění podmínek dotačních výzev.</w:t>
      </w:r>
      <w:r w:rsidRPr="007B3423">
        <w:t xml:space="preserve"> Proto níže navrhuje postup, kterým by b</w:t>
      </w:r>
      <w:r w:rsidRPr="00273594">
        <w:t xml:space="preserve">yla relevantní data o výhledech k dispozici a který by znamenal zásadní snížení administrativní zátěže a současně zakládal mnohem vyšší míry spolehlivosti a správnosti takto sebraných dat. </w:t>
      </w:r>
    </w:p>
    <w:p w14:paraId="42AB0AE3" w14:textId="58155F09" w:rsidR="00115E76" w:rsidRPr="00273594" w:rsidRDefault="00BE4958" w:rsidP="005F5933">
      <w:pPr>
        <w:jc w:val="both"/>
      </w:pPr>
      <w:r w:rsidRPr="00273594">
        <w:t xml:space="preserve">Uvažovaný postup </w:t>
      </w:r>
      <w:r w:rsidR="00CC5727" w:rsidRPr="00273594">
        <w:t>je</w:t>
      </w:r>
      <w:r w:rsidR="00115E76" w:rsidRPr="00273594">
        <w:t xml:space="preserve"> založen na následujících principech:</w:t>
      </w:r>
    </w:p>
    <w:p w14:paraId="36CD79DC" w14:textId="77777777" w:rsidR="00115E76" w:rsidRPr="00273594" w:rsidRDefault="00115E76" w:rsidP="00CC5D02">
      <w:pPr>
        <w:pStyle w:val="Odstavecseseznamem"/>
        <w:numPr>
          <w:ilvl w:val="0"/>
          <w:numId w:val="6"/>
        </w:numPr>
        <w:jc w:val="both"/>
      </w:pPr>
      <w:r w:rsidRPr="00273594">
        <w:t xml:space="preserve">Pravidelný sběr dat </w:t>
      </w:r>
      <w:r w:rsidR="00BE4958" w:rsidRPr="00273594">
        <w:t>provád</w:t>
      </w:r>
      <w:r w:rsidR="00C167BA" w:rsidRPr="00273594">
        <w:t xml:space="preserve">ěný ze strany </w:t>
      </w:r>
      <w:r w:rsidR="00BE4958" w:rsidRPr="00273594">
        <w:t xml:space="preserve">ČTÚ </w:t>
      </w:r>
      <w:r w:rsidRPr="00273594">
        <w:t>by se zabýval pouze současným stavem infrastruktury (k 31. 12. předmětného roku). Data o výhledu by se n</w:t>
      </w:r>
      <w:r w:rsidR="00C167BA" w:rsidRPr="00273594">
        <w:t>e</w:t>
      </w:r>
      <w:r w:rsidRPr="00273594">
        <w:t>sbírala.</w:t>
      </w:r>
    </w:p>
    <w:p w14:paraId="03C8CD22" w14:textId="3E1F1195" w:rsidR="00115E76" w:rsidRPr="00273594" w:rsidRDefault="00CC5727" w:rsidP="00CC5D02">
      <w:pPr>
        <w:pStyle w:val="Odstavecseseznamem"/>
        <w:numPr>
          <w:ilvl w:val="0"/>
          <w:numId w:val="6"/>
        </w:numPr>
        <w:jc w:val="both"/>
      </w:pPr>
      <w:r w:rsidRPr="00273594">
        <w:t xml:space="preserve">Takto sebraná data </w:t>
      </w:r>
      <w:r w:rsidR="00115E76" w:rsidRPr="00273594">
        <w:t xml:space="preserve">by </w:t>
      </w:r>
      <w:r w:rsidRPr="00273594">
        <w:t xml:space="preserve">mohla být zdrojem pro primární </w:t>
      </w:r>
      <w:r w:rsidR="00115E76" w:rsidRPr="00273594">
        <w:t>map</w:t>
      </w:r>
      <w:r w:rsidRPr="00273594">
        <w:t>u</w:t>
      </w:r>
      <w:r w:rsidR="00115E76" w:rsidRPr="00273594">
        <w:t xml:space="preserve"> bílých, šedých a černých míst</w:t>
      </w:r>
      <w:r w:rsidR="00D84736">
        <w:t>.</w:t>
      </w:r>
      <w:r w:rsidRPr="00273594">
        <w:t xml:space="preserve"> </w:t>
      </w:r>
      <w:r w:rsidR="00D84736">
        <w:t>T</w:t>
      </w:r>
      <w:r w:rsidRPr="00273594">
        <w:t xml:space="preserve">a </w:t>
      </w:r>
      <w:r w:rsidR="00115E76" w:rsidRPr="00273594">
        <w:t xml:space="preserve">by reflektovala pouze data o současném stavu infrastruktury. Následně by byla </w:t>
      </w:r>
      <w:r w:rsidR="00C167BA" w:rsidRPr="00273594">
        <w:t xml:space="preserve">ze strany MPO </w:t>
      </w:r>
      <w:r w:rsidR="00115E76" w:rsidRPr="00273594">
        <w:t>sestavena „mapa“ navržených intervenčních oblastí (NIO).</w:t>
      </w:r>
    </w:p>
    <w:p w14:paraId="49724D85" w14:textId="6C19E6D7" w:rsidR="00115E76" w:rsidRPr="00273594" w:rsidRDefault="00115E76" w:rsidP="00CC5D02">
      <w:pPr>
        <w:pStyle w:val="Odstavecseseznamem"/>
        <w:numPr>
          <w:ilvl w:val="0"/>
          <w:numId w:val="6"/>
        </w:numPr>
        <w:jc w:val="both"/>
      </w:pPr>
      <w:r w:rsidRPr="00273594">
        <w:t>Mapa NIO by byla předložena do veřejné konzultace</w:t>
      </w:r>
      <w:r w:rsidR="00C167BA" w:rsidRPr="00273594">
        <w:t xml:space="preserve">, kterou realizuje MPO jako správce dotačního programu </w:t>
      </w:r>
      <w:r w:rsidRPr="00273594">
        <w:t>s tím, že pokud má nějaký subjekt plán v rámci NIO budovat v horizontu tří let (anebo k 31. 12. příslušného horizontu)</w:t>
      </w:r>
      <w:r w:rsidR="00CC7BA1" w:rsidRPr="00273594">
        <w:t xml:space="preserve"> NGA infrastrukturu, může toto v rám</w:t>
      </w:r>
      <w:r w:rsidR="00BE4958" w:rsidRPr="00273594">
        <w:t xml:space="preserve">ci veřejné </w:t>
      </w:r>
      <w:r w:rsidR="00BE4958" w:rsidRPr="00273594">
        <w:lastRenderedPageBreak/>
        <w:t>konzultace sděli</w:t>
      </w:r>
      <w:r w:rsidR="00C167BA" w:rsidRPr="00273594">
        <w:t xml:space="preserve">t za účelem </w:t>
      </w:r>
      <w:r w:rsidR="005D0C2F" w:rsidRPr="00273594">
        <w:t xml:space="preserve">zajištění </w:t>
      </w:r>
      <w:r w:rsidR="00C167BA" w:rsidRPr="00273594">
        <w:t>ochrany svých buď probíhajících nebo plánovaných investic.</w:t>
      </w:r>
    </w:p>
    <w:p w14:paraId="4114BBB0" w14:textId="6A97ABA9" w:rsidR="00647827" w:rsidRPr="00273594" w:rsidRDefault="00CC7BA1" w:rsidP="008309A0">
      <w:pPr>
        <w:pStyle w:val="Odstavecseseznamem"/>
        <w:numPr>
          <w:ilvl w:val="0"/>
          <w:numId w:val="6"/>
        </w:numPr>
        <w:jc w:val="both"/>
      </w:pPr>
      <w:r w:rsidRPr="00273594">
        <w:t xml:space="preserve">Variantně </w:t>
      </w:r>
      <w:r w:rsidR="00115E76" w:rsidRPr="00273594">
        <w:t xml:space="preserve">by </w:t>
      </w:r>
      <w:r w:rsidRPr="00273594">
        <w:t xml:space="preserve">bylo možné </w:t>
      </w:r>
      <w:r w:rsidR="008309A0">
        <w:t xml:space="preserve">nejprve umožnit </w:t>
      </w:r>
      <w:r w:rsidR="00BF7561">
        <w:t xml:space="preserve">(např. souběžně s veřejnou konzultací sebraných dat, která pravidelně předchází konzultaci NIO) </w:t>
      </w:r>
      <w:r w:rsidR="008309A0">
        <w:t>deklaraci výhledů nad oblastmi, které byly na základě dat o současném pokrytí předběžně vyhodnoceny jako způsobilé pro intervenci (bílé ZSJ), a až na základě kombinace takto získaných dat o výhledech a sebraných dat o současném pokrytí navrhnout a konzultovat NIO.</w:t>
      </w:r>
    </w:p>
    <w:p w14:paraId="537116A5" w14:textId="77777777" w:rsidR="00CC7BA1" w:rsidRPr="00273594" w:rsidRDefault="00E372AC" w:rsidP="00CC5D02">
      <w:pPr>
        <w:jc w:val="both"/>
      </w:pPr>
      <w:r w:rsidRPr="00273594">
        <w:t>To znamená, že d</w:t>
      </w:r>
      <w:r w:rsidR="00CC7BA1" w:rsidRPr="00273594">
        <w:t xml:space="preserve">ata </w:t>
      </w:r>
      <w:r w:rsidRPr="007B3423">
        <w:t xml:space="preserve">o výhledech </w:t>
      </w:r>
      <w:r w:rsidR="00CC7BA1" w:rsidRPr="007B3423">
        <w:t>by nebyla požadována na základě § 115 zákona o elektronických komunikacích plošně po všech podnikatelích, kterým je přidělen příslušný ART formulář. Data</w:t>
      </w:r>
      <w:r w:rsidR="00CC7BA1" w:rsidRPr="00273594">
        <w:t xml:space="preserve"> by předaly jen ty subjekty, které by se dobrovolně zúčastnily veřejné konzultace a měly by zájem o zohlednění svých </w:t>
      </w:r>
      <w:r w:rsidR="002C0FD1" w:rsidRPr="00273594">
        <w:t>reálných plánů</w:t>
      </w:r>
      <w:r w:rsidR="00CC7BA1" w:rsidRPr="00273594">
        <w:t xml:space="preserve"> při stanovení NIO</w:t>
      </w:r>
      <w:r w:rsidR="00BE4958" w:rsidRPr="00273594">
        <w:t>/bílých oblastí</w:t>
      </w:r>
      <w:r w:rsidR="00CC7BA1" w:rsidRPr="00273594">
        <w:t>.</w:t>
      </w:r>
      <w:r w:rsidR="00C167BA" w:rsidRPr="00273594">
        <w:t xml:space="preserve"> </w:t>
      </w:r>
    </w:p>
    <w:p w14:paraId="347E8B43" w14:textId="5AB85D37" w:rsidR="00CC7BA1" w:rsidRPr="00273594" w:rsidRDefault="00CC7BA1" w:rsidP="00E372AC">
      <w:pPr>
        <w:jc w:val="both"/>
      </w:pPr>
      <w:r w:rsidRPr="00273594">
        <w:t xml:space="preserve">Zároveň by se takto mohla sbírat data </w:t>
      </w:r>
      <w:r w:rsidR="00BE4958" w:rsidRPr="00273594">
        <w:t xml:space="preserve">o výhledech </w:t>
      </w:r>
      <w:r w:rsidRPr="00273594">
        <w:t xml:space="preserve">relevantní </w:t>
      </w:r>
      <w:r w:rsidR="00BE4958" w:rsidRPr="00273594">
        <w:t xml:space="preserve">jen </w:t>
      </w:r>
      <w:r w:rsidR="00C167BA" w:rsidRPr="00273594">
        <w:t xml:space="preserve">ve vztahu </w:t>
      </w:r>
      <w:r w:rsidRPr="00273594">
        <w:t>ke konzultovaným NIO (nebo bílým místům), a ne plošně za celou Českou republiku, jako tomu je doposud.</w:t>
      </w:r>
    </w:p>
    <w:p w14:paraId="6DDCEA56" w14:textId="715803E5" w:rsidR="00CC5727" w:rsidRPr="00273594" w:rsidRDefault="00CC5727" w:rsidP="00E372AC">
      <w:pPr>
        <w:jc w:val="both"/>
      </w:pPr>
      <w:r w:rsidRPr="00273594">
        <w:t xml:space="preserve">Nadto by takové zjišťování záměrů budovat příslušné sítě probíhalo v okamžiku, kdy by bylo potřeba NIO sestavit, takže oproti stávajícímu </w:t>
      </w:r>
      <w:r w:rsidR="00273594" w:rsidRPr="00273594">
        <w:t>každoročnímu sběru</w:t>
      </w:r>
      <w:r w:rsidRPr="00273594">
        <w:t xml:space="preserve"> by byla k dispozici aktuálnější data</w:t>
      </w:r>
      <w:r w:rsidR="00273594" w:rsidRPr="00273594">
        <w:t xml:space="preserve"> a</w:t>
      </w:r>
      <w:r w:rsidR="00685972">
        <w:t> </w:t>
      </w:r>
      <w:r w:rsidR="00273594" w:rsidRPr="00273594">
        <w:t>pravděpodobně by došlo i ke snížení četnosti jejich sběru.</w:t>
      </w:r>
    </w:p>
    <w:p w14:paraId="75B16294" w14:textId="6620DB7D" w:rsidR="00E372AC" w:rsidRPr="00273594" w:rsidRDefault="00E372AC" w:rsidP="00CC7BA1">
      <w:pPr>
        <w:jc w:val="both"/>
      </w:pPr>
      <w:r w:rsidRPr="00273594">
        <w:t xml:space="preserve">Výše uvedené by mělo za následek, že by se snížil objem dat o výhledech, která jsou sbírána od podnikatelů (a případně i vymáhána) a následně zpracovávána, přičemž by </w:t>
      </w:r>
      <w:r w:rsidR="00273594" w:rsidRPr="00273594">
        <w:t xml:space="preserve">jednoznačně </w:t>
      </w:r>
      <w:r w:rsidRPr="00273594">
        <w:t>byla zachována možnost podnikatelů nechat si své výhledy zohlednit</w:t>
      </w:r>
      <w:r w:rsidR="00D35A99">
        <w:t>,</w:t>
      </w:r>
      <w:r w:rsidRPr="00273594">
        <w:t xml:space="preserve"> </w:t>
      </w:r>
      <w:r w:rsidR="00C167BA" w:rsidRPr="00273594">
        <w:t xml:space="preserve">a zajistit </w:t>
      </w:r>
      <w:r w:rsidR="00D35A99">
        <w:t xml:space="preserve">tak </w:t>
      </w:r>
      <w:r w:rsidR="00C167BA" w:rsidRPr="00273594">
        <w:t xml:space="preserve">ochranu </w:t>
      </w:r>
      <w:r w:rsidR="00D35A99">
        <w:t xml:space="preserve">svých </w:t>
      </w:r>
      <w:r w:rsidR="00C167BA" w:rsidRPr="00273594">
        <w:t>investic</w:t>
      </w:r>
      <w:r w:rsidRPr="00273594">
        <w:t>.</w:t>
      </w:r>
    </w:p>
    <w:p w14:paraId="2EB8FAAF" w14:textId="77777777" w:rsidR="00273594" w:rsidRPr="00273594" w:rsidRDefault="00273594" w:rsidP="00273594">
      <w:pPr>
        <w:jc w:val="both"/>
      </w:pPr>
      <w:r w:rsidRPr="00273594">
        <w:t>K tomu ČTÚ dodává, že veřejné konzultace NIO standardně probíhají již nyní (v rámci I. a II. výzvy Vysokorychlostní internet), nejedná se tedy o zavádění zcela nového mechanismu či nového informačního kanálu.</w:t>
      </w:r>
    </w:p>
    <w:p w14:paraId="311FAE6B" w14:textId="6AA68EFD" w:rsidR="00CC7BA1" w:rsidRPr="00273594" w:rsidRDefault="00631A45" w:rsidP="00CC7BA1">
      <w:pPr>
        <w:jc w:val="both"/>
      </w:pPr>
      <w:r w:rsidRPr="00273594">
        <w:t>Navrhovaným postupem, který vychází z konkrétní potřeby informací o výhlede</w:t>
      </w:r>
      <w:r w:rsidR="005D0C2F" w:rsidRPr="00273594">
        <w:t>ch</w:t>
      </w:r>
      <w:r w:rsidRPr="00273594">
        <w:t xml:space="preserve">, </w:t>
      </w:r>
      <w:r w:rsidR="00E372AC" w:rsidRPr="00273594">
        <w:t>by se dramaticky snížila administrativní náročnost jak pro podnikatele (řada z </w:t>
      </w:r>
      <w:r w:rsidR="00BE4958" w:rsidRPr="00273594">
        <w:t>nich by údaje o </w:t>
      </w:r>
      <w:r w:rsidR="00E372AC" w:rsidRPr="00273594">
        <w:t>výhledu nemusela nově zpracovávat</w:t>
      </w:r>
      <w:r w:rsidR="00DB41BF" w:rsidRPr="00273594">
        <w:t xml:space="preserve"> a předávat</w:t>
      </w:r>
      <w:r w:rsidR="00E372AC" w:rsidRPr="00273594">
        <w:t xml:space="preserve">, </w:t>
      </w:r>
      <w:r w:rsidR="00DB41BF" w:rsidRPr="00273594">
        <w:t>případně</w:t>
      </w:r>
      <w:r w:rsidR="00E372AC" w:rsidRPr="00273594">
        <w:t xml:space="preserve"> </w:t>
      </w:r>
      <w:r w:rsidR="00CC5D02" w:rsidRPr="00273594">
        <w:t xml:space="preserve">by k tomu docházelo </w:t>
      </w:r>
      <w:r w:rsidR="00E372AC" w:rsidRPr="00273594">
        <w:t>jen v omezené míře), tak pro veřejnou správu (méně dat k verifikaci, méně dat ke zpracování</w:t>
      </w:r>
      <w:r w:rsidR="00BE4958" w:rsidRPr="00273594">
        <w:t xml:space="preserve"> a vyhodnocení</w:t>
      </w:r>
      <w:r w:rsidR="00E372AC" w:rsidRPr="00273594">
        <w:t>)</w:t>
      </w:r>
      <w:r w:rsidRPr="00273594">
        <w:t xml:space="preserve">. Tento způsob současně nabízí </w:t>
      </w:r>
      <w:r w:rsidR="00E372AC" w:rsidRPr="00273594">
        <w:t xml:space="preserve">větší možnosti věnovat se deklarovaným výhledům z hlediska posuzování jejich realizovatelnosti </w:t>
      </w:r>
      <w:r w:rsidR="00D35A99">
        <w:t xml:space="preserve">s využitím předem definovaných </w:t>
      </w:r>
      <w:r w:rsidR="00E372AC" w:rsidRPr="00273594">
        <w:t>pravid</w:t>
      </w:r>
      <w:r w:rsidR="00D35A99">
        <w:t>e</w:t>
      </w:r>
      <w:r w:rsidR="00E372AC" w:rsidRPr="00273594">
        <w:t>l</w:t>
      </w:r>
      <w:r w:rsidR="00D35A99">
        <w:t xml:space="preserve"> a mechanismů</w:t>
      </w:r>
      <w:r w:rsidR="005D0C2F" w:rsidRPr="00273594">
        <w:t>,</w:t>
      </w:r>
      <w:r w:rsidRPr="00273594">
        <w:t xml:space="preserve"> případně zavázat podnikatele k realizaci plánů tak, aby byla na jedné straně zajištěna ochrana jejich investic a na straně druhé, aby měl správce dotačního programu (MPO) možnost reagovat na neplnění závazků např</w:t>
      </w:r>
      <w:r w:rsidR="00E372AC" w:rsidRPr="00273594">
        <w:t>.</w:t>
      </w:r>
      <w:r w:rsidRPr="00273594">
        <w:t xml:space="preserve"> opětovným zařazením dané oblasti mezi NIO v případech, kdy by plány nebyly plněny. Postup současně odpovídá i ustanovení bodu </w:t>
      </w:r>
      <w:r w:rsidR="005D0C2F" w:rsidRPr="00273594">
        <w:t>65</w:t>
      </w:r>
      <w:r w:rsidRPr="00273594">
        <w:t xml:space="preserve"> Pokynů </w:t>
      </w:r>
      <w:r w:rsidR="005D0C2F" w:rsidRPr="00273594">
        <w:t>EU k použití pravidel státní podpory ve vztahu k rychlému zavádění širokopásmových sítí (2013/C 25/01)</w:t>
      </w:r>
      <w:r w:rsidR="00D35A99">
        <w:t>.</w:t>
      </w:r>
    </w:p>
    <w:p w14:paraId="1CB7B535" w14:textId="77777777" w:rsidR="00D35A99" w:rsidRDefault="00273594" w:rsidP="000A1CB2">
      <w:pPr>
        <w:jc w:val="both"/>
      </w:pPr>
      <w:r w:rsidRPr="00273594">
        <w:t xml:space="preserve">Způsob, kdy </w:t>
      </w:r>
      <w:r w:rsidRPr="00E152CE">
        <w:t xml:space="preserve">se k primárnímu návrhu intervenčních oblastí vyjadřují na základě své vůle pouze ti podnikatelé, kteří mají zájem o ochranu svých investic, při každém vymezení intervenčních oblastí, je </w:t>
      </w:r>
      <w:r w:rsidRPr="00273594">
        <w:t>s úspěchem využíván i v jiných členských státech EU</w:t>
      </w:r>
      <w:r w:rsidRPr="00E152CE">
        <w:t xml:space="preserve"> (např. Polsko) a jeví se jako efektivní a akceptovatelný ze strany Evropské komise.</w:t>
      </w:r>
      <w:r w:rsidRPr="00273594">
        <w:t xml:space="preserve"> </w:t>
      </w:r>
    </w:p>
    <w:p w14:paraId="6B858B6E" w14:textId="2B774E5B" w:rsidR="00035304" w:rsidRDefault="007B3423" w:rsidP="000A1CB2">
      <w:pPr>
        <w:jc w:val="both"/>
      </w:pPr>
      <w:r>
        <w:t xml:space="preserve">Navržený postup </w:t>
      </w:r>
      <w:r w:rsidR="00BF7561">
        <w:t>b</w:t>
      </w:r>
      <w:r w:rsidR="00D35A99">
        <w:t xml:space="preserve">y takto vyhověl i </w:t>
      </w:r>
      <w:r>
        <w:t>úprav</w:t>
      </w:r>
      <w:r w:rsidR="00D35A99">
        <w:t>ě</w:t>
      </w:r>
      <w:r>
        <w:t xml:space="preserve"> čl. 22 směrnice Evropského parlamentu a Rady (EU) 2018/1972, kterou se stanoví evropský kodex pro elektronické komunikace.</w:t>
      </w:r>
    </w:p>
    <w:sectPr w:rsidR="00035304" w:rsidSect="00B066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2A5D3" w14:textId="77777777" w:rsidR="009B5ED6" w:rsidRDefault="009B5ED6" w:rsidP="002B36B7">
      <w:pPr>
        <w:spacing w:after="0" w:line="240" w:lineRule="auto"/>
      </w:pPr>
      <w:r>
        <w:separator/>
      </w:r>
    </w:p>
  </w:endnote>
  <w:endnote w:type="continuationSeparator" w:id="0">
    <w:p w14:paraId="3A68613D" w14:textId="77777777" w:rsidR="009B5ED6" w:rsidRDefault="009B5ED6" w:rsidP="002B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502047"/>
      <w:docPartObj>
        <w:docPartGallery w:val="Page Numbers (Bottom of Page)"/>
        <w:docPartUnique/>
      </w:docPartObj>
    </w:sdtPr>
    <w:sdtEndPr/>
    <w:sdtContent>
      <w:p w14:paraId="71F1BEA1" w14:textId="77777777" w:rsidR="00E152CE" w:rsidRDefault="00E152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B1861" w14:textId="77777777" w:rsidR="00E152CE" w:rsidRDefault="00E15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B0F2F" w14:textId="77777777" w:rsidR="009B5ED6" w:rsidRDefault="009B5ED6" w:rsidP="002B36B7">
      <w:pPr>
        <w:spacing w:after="0" w:line="240" w:lineRule="auto"/>
      </w:pPr>
      <w:r>
        <w:separator/>
      </w:r>
    </w:p>
  </w:footnote>
  <w:footnote w:type="continuationSeparator" w:id="0">
    <w:p w14:paraId="157CE20A" w14:textId="77777777" w:rsidR="009B5ED6" w:rsidRDefault="009B5ED6" w:rsidP="002B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127"/>
    <w:multiLevelType w:val="hybridMultilevel"/>
    <w:tmpl w:val="BF8E3EE2"/>
    <w:lvl w:ilvl="0" w:tplc="BE56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530E"/>
    <w:multiLevelType w:val="hybridMultilevel"/>
    <w:tmpl w:val="F4285B0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394CBF"/>
    <w:multiLevelType w:val="hybridMultilevel"/>
    <w:tmpl w:val="A5040AF6"/>
    <w:lvl w:ilvl="0" w:tplc="D4F2C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1118"/>
    <w:multiLevelType w:val="hybridMultilevel"/>
    <w:tmpl w:val="F79CA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1070"/>
    <w:multiLevelType w:val="hybridMultilevel"/>
    <w:tmpl w:val="B73AD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7D3"/>
    <w:multiLevelType w:val="hybridMultilevel"/>
    <w:tmpl w:val="2C9E1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07FE"/>
    <w:multiLevelType w:val="hybridMultilevel"/>
    <w:tmpl w:val="F148E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74401"/>
    <w:multiLevelType w:val="hybridMultilevel"/>
    <w:tmpl w:val="4898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55A69"/>
    <w:multiLevelType w:val="hybridMultilevel"/>
    <w:tmpl w:val="81901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56"/>
    <w:rsid w:val="00035304"/>
    <w:rsid w:val="000412AC"/>
    <w:rsid w:val="00050F8A"/>
    <w:rsid w:val="00054094"/>
    <w:rsid w:val="00054773"/>
    <w:rsid w:val="00056ACF"/>
    <w:rsid w:val="00066DB8"/>
    <w:rsid w:val="000A1CB2"/>
    <w:rsid w:val="000D64E3"/>
    <w:rsid w:val="000E7199"/>
    <w:rsid w:val="000F778C"/>
    <w:rsid w:val="00102ABD"/>
    <w:rsid w:val="00115E76"/>
    <w:rsid w:val="0016141D"/>
    <w:rsid w:val="00172B8E"/>
    <w:rsid w:val="00186556"/>
    <w:rsid w:val="002651BD"/>
    <w:rsid w:val="0027170A"/>
    <w:rsid w:val="00273594"/>
    <w:rsid w:val="00284A7A"/>
    <w:rsid w:val="002B36B7"/>
    <w:rsid w:val="002B7731"/>
    <w:rsid w:val="002C0FD1"/>
    <w:rsid w:val="002D2A20"/>
    <w:rsid w:val="00376A3B"/>
    <w:rsid w:val="0039000C"/>
    <w:rsid w:val="003A7CD2"/>
    <w:rsid w:val="004059DC"/>
    <w:rsid w:val="00476B36"/>
    <w:rsid w:val="00476E91"/>
    <w:rsid w:val="00490D25"/>
    <w:rsid w:val="004910E0"/>
    <w:rsid w:val="004F3DB3"/>
    <w:rsid w:val="005022A1"/>
    <w:rsid w:val="005425E8"/>
    <w:rsid w:val="0056562B"/>
    <w:rsid w:val="00570B91"/>
    <w:rsid w:val="005842B9"/>
    <w:rsid w:val="00591D53"/>
    <w:rsid w:val="005B6B73"/>
    <w:rsid w:val="005D0C2F"/>
    <w:rsid w:val="005F5933"/>
    <w:rsid w:val="005F67B9"/>
    <w:rsid w:val="00600FF2"/>
    <w:rsid w:val="0061168A"/>
    <w:rsid w:val="00616C42"/>
    <w:rsid w:val="00631A45"/>
    <w:rsid w:val="006449C1"/>
    <w:rsid w:val="00647827"/>
    <w:rsid w:val="0065471E"/>
    <w:rsid w:val="006601C9"/>
    <w:rsid w:val="00684628"/>
    <w:rsid w:val="00685972"/>
    <w:rsid w:val="006E250C"/>
    <w:rsid w:val="006F2C85"/>
    <w:rsid w:val="006F4B80"/>
    <w:rsid w:val="007136AE"/>
    <w:rsid w:val="00740A17"/>
    <w:rsid w:val="00744562"/>
    <w:rsid w:val="00773510"/>
    <w:rsid w:val="00775564"/>
    <w:rsid w:val="0078466A"/>
    <w:rsid w:val="007A6A7D"/>
    <w:rsid w:val="007B3423"/>
    <w:rsid w:val="007F004F"/>
    <w:rsid w:val="007F4D96"/>
    <w:rsid w:val="00803DFA"/>
    <w:rsid w:val="00807637"/>
    <w:rsid w:val="008309A0"/>
    <w:rsid w:val="00836EE9"/>
    <w:rsid w:val="00843B56"/>
    <w:rsid w:val="00875FBE"/>
    <w:rsid w:val="00876B5E"/>
    <w:rsid w:val="008856B2"/>
    <w:rsid w:val="0088630F"/>
    <w:rsid w:val="00893006"/>
    <w:rsid w:val="008A2E8D"/>
    <w:rsid w:val="008B7CA1"/>
    <w:rsid w:val="008C6C9D"/>
    <w:rsid w:val="008D1794"/>
    <w:rsid w:val="008E5C82"/>
    <w:rsid w:val="0090484B"/>
    <w:rsid w:val="009110B0"/>
    <w:rsid w:val="0091478B"/>
    <w:rsid w:val="00954763"/>
    <w:rsid w:val="0095586A"/>
    <w:rsid w:val="009B5ED6"/>
    <w:rsid w:val="009B6F3F"/>
    <w:rsid w:val="009E06F2"/>
    <w:rsid w:val="00A16CAB"/>
    <w:rsid w:val="00A52EB6"/>
    <w:rsid w:val="00A55290"/>
    <w:rsid w:val="00A836D5"/>
    <w:rsid w:val="00A90972"/>
    <w:rsid w:val="00AA63D0"/>
    <w:rsid w:val="00AC0A73"/>
    <w:rsid w:val="00B058E8"/>
    <w:rsid w:val="00B0669D"/>
    <w:rsid w:val="00B148A5"/>
    <w:rsid w:val="00BC55C8"/>
    <w:rsid w:val="00BE4958"/>
    <w:rsid w:val="00BF5288"/>
    <w:rsid w:val="00BF7561"/>
    <w:rsid w:val="00C02546"/>
    <w:rsid w:val="00C15641"/>
    <w:rsid w:val="00C167BA"/>
    <w:rsid w:val="00C544CA"/>
    <w:rsid w:val="00C56189"/>
    <w:rsid w:val="00C76200"/>
    <w:rsid w:val="00C82EE8"/>
    <w:rsid w:val="00CB50B2"/>
    <w:rsid w:val="00CC4350"/>
    <w:rsid w:val="00CC5727"/>
    <w:rsid w:val="00CC5D02"/>
    <w:rsid w:val="00CC7BA1"/>
    <w:rsid w:val="00CF676C"/>
    <w:rsid w:val="00CF6798"/>
    <w:rsid w:val="00D332BA"/>
    <w:rsid w:val="00D35A99"/>
    <w:rsid w:val="00D455B1"/>
    <w:rsid w:val="00D502FB"/>
    <w:rsid w:val="00D62E1C"/>
    <w:rsid w:val="00D70482"/>
    <w:rsid w:val="00D71F09"/>
    <w:rsid w:val="00D84736"/>
    <w:rsid w:val="00D92012"/>
    <w:rsid w:val="00DB41BF"/>
    <w:rsid w:val="00DD2AB4"/>
    <w:rsid w:val="00DE1C9D"/>
    <w:rsid w:val="00E059AC"/>
    <w:rsid w:val="00E152CE"/>
    <w:rsid w:val="00E36EC4"/>
    <w:rsid w:val="00E372AC"/>
    <w:rsid w:val="00E56E91"/>
    <w:rsid w:val="00EA11C3"/>
    <w:rsid w:val="00EE2DD5"/>
    <w:rsid w:val="00EF3BB5"/>
    <w:rsid w:val="00F2378C"/>
    <w:rsid w:val="00F32887"/>
    <w:rsid w:val="00F4518A"/>
    <w:rsid w:val="00F55320"/>
    <w:rsid w:val="00F70E7C"/>
    <w:rsid w:val="00FB4886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1281"/>
  <w15:chartTrackingRefBased/>
  <w15:docId w15:val="{00FE44B8-1BF7-4555-96FA-6D135335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6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F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F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F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F3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36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36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36B7"/>
    <w:rPr>
      <w:vertAlign w:val="superscript"/>
    </w:rPr>
  </w:style>
  <w:style w:type="table" w:styleId="Mkatabulky">
    <w:name w:val="Table Grid"/>
    <w:basedOn w:val="Normlntabulka"/>
    <w:uiPriority w:val="39"/>
    <w:rsid w:val="0078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412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12AC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A52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EB6"/>
  </w:style>
  <w:style w:type="paragraph" w:styleId="Zpat">
    <w:name w:val="footer"/>
    <w:basedOn w:val="Normln"/>
    <w:link w:val="ZpatChar"/>
    <w:uiPriority w:val="99"/>
    <w:unhideWhenUsed/>
    <w:rsid w:val="00A52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EB6"/>
  </w:style>
  <w:style w:type="paragraph" w:styleId="Revize">
    <w:name w:val="Revision"/>
    <w:hidden/>
    <w:uiPriority w:val="99"/>
    <w:semiHidden/>
    <w:rsid w:val="008B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F125-3027-4634-A5E4-B313A88B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78F41301.dotm</Template>
  <TotalTime>134</TotalTime>
  <Pages>2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Hirič</dc:creator>
  <cp:keywords/>
  <dc:description/>
  <cp:lastModifiedBy>VOSÁHLOVÁ Veronika</cp:lastModifiedBy>
  <cp:revision>5</cp:revision>
  <cp:lastPrinted>2018-09-03T11:52:00Z</cp:lastPrinted>
  <dcterms:created xsi:type="dcterms:W3CDTF">2019-07-23T11:51:00Z</dcterms:created>
  <dcterms:modified xsi:type="dcterms:W3CDTF">2019-07-29T06:40:00Z</dcterms:modified>
</cp:coreProperties>
</file>